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A2" w:rsidRPr="00A52A4B" w:rsidRDefault="004A70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чтению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37BA2" w:rsidRDefault="004A708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A4B" w:rsidRPr="00A52A4B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итания»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D37BA2" w:rsidRPr="00A52A4B" w:rsidRDefault="004A70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A4B" w:rsidRPr="00A52A4B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A52A4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.08.202</w:t>
      </w:r>
      <w:r w:rsidR="00A52A4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A4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A4B" w:rsidRPr="00A52A4B">
        <w:rPr>
          <w:rFonts w:hAnsi="Times New Roman" w:cs="Times New Roman"/>
          <w:color w:val="000000"/>
          <w:sz w:val="24"/>
          <w:szCs w:val="24"/>
          <w:lang w:val="ru-RU"/>
        </w:rPr>
        <w:t>МБОУ «СОШ с.Мескер-Юрт»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Приоритетная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грамотного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осознающего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повсед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откликающегося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атическому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продолжения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сознанного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D37BA2" w:rsidRDefault="004A70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раскрывает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речевая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положены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принципом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преемственен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132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часов‌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вводный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интегрированный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«Обучение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грамоте»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136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D37BA2" w:rsidRPr="00A52A4B" w:rsidRDefault="004A70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 2-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 3-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 4-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D37BA2" w:rsidP="0076739F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738:</w:t>
      </w:r>
    </w:p>
    <w:p w:rsidR="00D37BA2" w:rsidRPr="00A52A4B" w:rsidRDefault="004A708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«Учим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Издательство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D37BA2" w:rsidP="0076739F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D37BA2" w:rsidRPr="0076739F" w:rsidRDefault="004A70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6739F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:rsidR="00D37BA2" w:rsidRPr="0076739F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76739F">
        <w:rPr>
          <w:b/>
          <w:bCs/>
          <w:color w:val="252525"/>
          <w:spacing w:val="-2"/>
          <w:sz w:val="42"/>
          <w:szCs w:val="42"/>
          <w:lang w:val="ru-RU"/>
        </w:rPr>
        <w:t>1-й класс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прослушивании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обозначающую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Плавное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словосочетаний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интонациями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Орфоэпическое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Орфографическое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проговаривание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сьме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списывании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авторская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тетерев»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«Петух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собака»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Сутеева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«Кораблик»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грибом»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посвящ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воспитывает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?).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Пермяка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Осеевой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Ермолаева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«Худо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добра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никому»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«Косточка»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Пермяк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«Торопливый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ножик»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товарища»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лишний»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Ермола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«Лучший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Плещеева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Трутневой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Маршака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рождает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Интонационный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исунок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малые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веселить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поучать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сообразительности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братьях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внешности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Мышонок»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Томку»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«Еж»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Сладков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Еж»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Благининой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Митя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привязанность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Благинина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«Посидим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«Мама»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Митяев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люблю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маму»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авторские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чудесах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фантазии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замечать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чудесное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необычное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обыкновенных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реалистических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необычными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фантастическими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«Чудо»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Лунин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видел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чудо»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Вообразилия»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Мориц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фанта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зий»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пропедевтическом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терминах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фильм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спектакль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37BA2" w:rsidRPr="00A52A4B" w:rsidRDefault="004A708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поставленную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терпение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2-й класс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нашей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Савинова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Прокофьева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звучание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Левитана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Шишкина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Поленова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«Русь»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Савинов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Прокофьев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Шуточные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«перевертыш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«Каша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топора»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страха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«Зимовье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зверей»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«Снегурочка»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Звуки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краски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краски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отклика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«Времена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Левитана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Поленова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Куинджи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Шишкина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Чайковского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Вивальди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«Уж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дышало…»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север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тучи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нагоняя…»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Плещеев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«Осень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Обсыпается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сад…»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«Осеннее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утро»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Скребицкий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«Четыре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художника»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«Чародейкою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Зимою»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«Зима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недаром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злится»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Микитов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«Зима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лесу»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«Поет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зима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аукает…»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Суриков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«Лето»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дружбе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дружбы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Осеевой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Лунина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терпение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«главный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«Филиппок»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Пермяк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Ермолаев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пирожных»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«Синие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листья»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горке»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«Заплатка»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«Катя»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Лунин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Вовка»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«Тайное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явным»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Мир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«бродячие»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«Золотая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рыбка»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рыбаке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рыбке»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«Морозко»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Одоевский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«Мороз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Иванович»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«Девочка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Снегурочка»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братьях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меньших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Чарушина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художниками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иллюстраторами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анималистами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«Лебедь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Щука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мышь»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«Ребята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утята»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Житков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«Храбрый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утенок»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Берестов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щенок»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Бианки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«Музыкант»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Чарушин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«Страшный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щенок»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наших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близких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радость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Международный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женский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«Отец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сыновья»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Плещеев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«Песня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«Сыновья»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«Быль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Баруздин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«Салют»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Зарубежная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зарубежные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раскрытии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сапогах»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«Пятеро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стручка»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ементы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пропедевтическом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овательские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группировать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чудесах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превращениях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каталоге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каталогу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рекомендованного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предполагать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4A708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описывать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устно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природы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Pr="00A52A4B" w:rsidRDefault="004A708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инсценировках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драматизации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возникшее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прочтении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</w:p>
    <w:p w:rsidR="00D37BA2" w:rsidRDefault="004A708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слушании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Pr="00A52A4B" w:rsidRDefault="004A708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красоту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величие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Отчизны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Ушинский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«Наше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Васильев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«Россия»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Кончаловская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«Наша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древняя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столица»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Фольклор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Далем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поговорок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Васнецова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Билибина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рождают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историческом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напевность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занимался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обладал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Репродукции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«Иван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царевич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серый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Муромце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сыне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славном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могучем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богатыре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князе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прекрасной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Билибин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иллюстратор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Салтане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сыне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славном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могучем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богатыре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князе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Гвидоне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Салтановиче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прекрасной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осенняя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погода…»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«Опрятней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паркета…»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поуч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увидеть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Иносказание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баснописец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скрытая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крылатых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«Ворона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Лисица»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виноград»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«Мартышка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очки»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Картины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Тютчева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Майкова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Некрасова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Блока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Бунина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вызываемые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Звукопись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Живописные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полотна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мелодия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«Есть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осени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первоначальной…»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прищуря»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«Мама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Глянь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окошка…»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Майков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«Осень»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«Береза»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«Железная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дорога»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«Ворона»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«Первый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снег»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завязка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кульминация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развязка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«Лебеди»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«Зайцы»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«Прыжок»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«Акула»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Гаршина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Горького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Соколова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Гаршин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«Лягушка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путешественница»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Микитов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«Листопадничек»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Горький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«Случай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Евсейкой»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взаимоотношениях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преданность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Мамина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Сибиряка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Житков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обезьянку»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«Барсучий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ворюга»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Мамин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Сибиряк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«Приемыш»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судьбы»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войне»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внешнего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обстановка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судьбы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крестьянских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Пант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елеев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ялике»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Гайдар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«Тимур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команда»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Кассиль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Комичность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преувели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«Денискины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«Веселая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семейка»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Киплинга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Известные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переводчики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Маршак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Чуковский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Заходер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«Гадкий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утенок»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«Подарок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рукописными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егулятивных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реалистические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Default="004A708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словесную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изобразительную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иллюстрация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звуковую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музыкальное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37BA2" w:rsidRPr="00A52A4B" w:rsidRDefault="004A708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интонаци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передавая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удерживать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лидера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подчиненного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дружелюбие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драматизи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манере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замыслом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героические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страницы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Романовского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Твардовского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Дрожжина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Александра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Кутузова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Кассиля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Алексеева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подвиг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Дрожжин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«Родине»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«Родине»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Твардовский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малой»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Романовский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«Ледовое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побоище»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Алексеев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словесный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обрядовый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Собиратели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Афанасьев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«бродячие»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героическом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защитник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богатырей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Муромца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Алеши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Поповича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Добрыни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Никитича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жемяки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занимался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обладал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устойчивые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повторы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лексике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художника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Васнецова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Муромце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Алеше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Поповиче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Добрыне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мертвой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богатырях»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помощники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Пушкин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мертвой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царевне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богатырях»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«Няне»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«Зимняя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дорога»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Хемницера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Аллегория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Крылов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«Стрекоза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муравей»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«Квартет»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Хемницер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«Стрекоза»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«Стрекоза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муравьи»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Лермонтова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«свернутое»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Лермонтова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Лермонтов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«Утес»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«Парус»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«Москва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…Люблю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тебя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сын…»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(2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Ершова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Бажова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Аксакова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Маршака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Бажов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«Серебряное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копытце»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Ершов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«Конек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Горбунок»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Аксаков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«Аленький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цветочек»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Картины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Х–ХХ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веков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наблюдениями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поэтов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Жуковский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Баратынский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Некрасов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Бальмонт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онимы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Репродукция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Жуковский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«Загадка»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Никитин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плывут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полями…»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Тютчев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неожиданно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ярко»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«Весенний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дождь»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Баратынский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«Весна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чист»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«Листопад»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Творчество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Отрывки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автобиографической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«Детство»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Толстой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«Детство»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«Русак»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«Черепаха»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ащита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Астафьева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Есенина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Куприна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Коваля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Астафьев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Капалуха»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Пришвин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«Выскочка»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Есенин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«Лебедушка»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играх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Чехова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Гарина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Михайловского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Житкова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Крапивина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Словесный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Чехов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«Мальчики»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Гарин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Михайловский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«Детство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Леньке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Миньке»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Паустовский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«Корзина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еловыми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шишками»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Пьеса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пьесой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азкой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драматического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Пьеса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драматическое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ремарки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Маршак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«Двенадцать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месяцев»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Юмористические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Зощенко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Голявкина‌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гипербола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Юмористические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Драгунский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«Денискины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«Витя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Малеев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Зарубежная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зарубежных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‌Ш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братьев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Гримм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Приключенческая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Свифта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Андерсен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«Дикие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лебеди»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«Русалочка»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Свифт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«Приключения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Гулливера»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Марк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Сойер»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Библиографическая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турой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Польза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иллюстративный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ериал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Очерк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периодическая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периодической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исследовател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ьские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запоминания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37BA2" w:rsidRPr="00A52A4B" w:rsidRDefault="004A708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любимом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наблюдениям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выступление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настроения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Pr="00A52A4B" w:rsidRDefault="004A70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инсценировании</w:t>
      </w:r>
      <w:r w:rsidRPr="00A52A4B">
        <w:rPr>
          <w:lang w:val="ru-RU"/>
        </w:rPr>
        <w:br/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драматизации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разыгрывать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сценки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Default="004A708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Pr="00A52A4B" w:rsidRDefault="004A708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обязанностям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52A4B">
        <w:rPr>
          <w:b/>
          <w:bCs/>
          <w:color w:val="252525"/>
          <w:spacing w:val="-2"/>
          <w:sz w:val="48"/>
          <w:szCs w:val="48"/>
          <w:lang w:val="ru-RU"/>
        </w:rPr>
        <w:t xml:space="preserve">Планируемые результаты </w:t>
      </w:r>
      <w:r w:rsidRPr="00A52A4B">
        <w:rPr>
          <w:b/>
          <w:bCs/>
          <w:color w:val="252525"/>
          <w:spacing w:val="-2"/>
          <w:sz w:val="48"/>
          <w:szCs w:val="48"/>
          <w:lang w:val="ru-RU"/>
        </w:rPr>
        <w:t>освоения программы</w:t>
      </w:r>
    </w:p>
    <w:p w:rsidR="00D37BA2" w:rsidRPr="00A52A4B" w:rsidRDefault="00D37B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позитивную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самовоспитания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младшими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позитивного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иобретение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естественной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прошлого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тственности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национальности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систематизации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создающих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азличных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саморазвитии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t>Метапредметные результаты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нарушенную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сюжете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Default="004A70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Pr="00A52A4B" w:rsidRDefault="004A70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уважительн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Default="004A70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небольшие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Pr="00A52A4B" w:rsidRDefault="004A708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4A708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37BA2" w:rsidRPr="00A52A4B" w:rsidRDefault="004A70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готовност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Pr="00A52A4B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52A4B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D37BA2" w:rsidRPr="00A52A4B" w:rsidRDefault="004A70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ставлены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плавного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нестихотворную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отрицательные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впечатлении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лючевые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редложенному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совету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важность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врем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предисловию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условным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обозначениям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персонаж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беседе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восьми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придумывать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предисловие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верифицированные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слушанию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перестановок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заические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минуту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отметочного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прозаическую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строфа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эпического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познавательным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считалки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небылицы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скороговорки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животн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читаемый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мыслями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выбранному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критерию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интерьера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незнакомого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мораль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басни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персонаж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идея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лирика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эпос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словоупотребления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грамматики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тверждать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вопросный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номинативный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цитатный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выборочно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рассказчика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орм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расстановки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инсценировать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эпизоды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сочинять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прочитанным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придумывать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аннотацию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предисло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вие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примечания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37BA2" w:rsidRPr="00A52A4B" w:rsidRDefault="004A708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рекомендательного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7BA2" w:rsidRPr="00A52A4B" w:rsidRDefault="004A708F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рсы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коммуникационной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контролируемого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52A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7BA2" w:rsidRDefault="004A708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D37BA2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2090"/>
        <w:gridCol w:w="725"/>
        <w:gridCol w:w="1579"/>
        <w:gridCol w:w="1645"/>
        <w:gridCol w:w="2660"/>
      </w:tblGrid>
      <w:tr w:rsidR="00D37B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ародное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братьях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меньших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чудесах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фантазии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BA2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2090"/>
        <w:gridCol w:w="725"/>
        <w:gridCol w:w="1579"/>
        <w:gridCol w:w="1645"/>
        <w:gridCol w:w="2660"/>
      </w:tblGrid>
      <w:tr w:rsidR="00D37B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осень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меньших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BA2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2015"/>
        <w:gridCol w:w="703"/>
        <w:gridCol w:w="1524"/>
        <w:gridCol w:w="1587"/>
        <w:gridCol w:w="2883"/>
      </w:tblGrid>
      <w:tr w:rsidR="00D37B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lesson.academy-content.myschool.edu.ru/18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/03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взаимоотношениях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/18/03</w:t>
            </w:r>
          </w:p>
        </w:tc>
      </w:tr>
      <w:tr w:rsidR="00D37BA2" w:rsidRPr="00A52A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BA2" w:rsidRDefault="004A708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4-й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"/>
        <w:gridCol w:w="2090"/>
        <w:gridCol w:w="725"/>
        <w:gridCol w:w="1579"/>
        <w:gridCol w:w="1645"/>
        <w:gridCol w:w="2660"/>
      </w:tblGrid>
      <w:tr w:rsidR="00D37BA2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37BA2" w:rsidRDefault="00D3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7BA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 </w:t>
            </w:r>
          </w:p>
        </w:tc>
      </w:tr>
      <w:tr w:rsidR="00D37BA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1-4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D37BA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1-4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«Просвещение»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 w:rsidRPr="00A52A4B">
        <w:tc>
          <w:tcPr>
            <w:tcW w:w="3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7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7BA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Pr="00A52A4B" w:rsidRDefault="004A70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4A70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A2" w:rsidRDefault="00D37B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708F" w:rsidRDefault="004A708F"/>
    <w:sectPr w:rsidR="004A70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77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57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60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27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27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F76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4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06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64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DC5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50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6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70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82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C7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82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E7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C3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57B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61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30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23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97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C5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605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03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AB7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C86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94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8B6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64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25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B4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8B5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00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F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B4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F6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BF1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9"/>
  </w:num>
  <w:num w:numId="3">
    <w:abstractNumId w:val="17"/>
  </w:num>
  <w:num w:numId="4">
    <w:abstractNumId w:val="33"/>
  </w:num>
  <w:num w:numId="5">
    <w:abstractNumId w:val="25"/>
  </w:num>
  <w:num w:numId="6">
    <w:abstractNumId w:val="32"/>
  </w:num>
  <w:num w:numId="7">
    <w:abstractNumId w:val="27"/>
  </w:num>
  <w:num w:numId="8">
    <w:abstractNumId w:val="5"/>
  </w:num>
  <w:num w:numId="9">
    <w:abstractNumId w:val="10"/>
  </w:num>
  <w:num w:numId="10">
    <w:abstractNumId w:val="20"/>
  </w:num>
  <w:num w:numId="11">
    <w:abstractNumId w:val="30"/>
  </w:num>
  <w:num w:numId="12">
    <w:abstractNumId w:val="31"/>
  </w:num>
  <w:num w:numId="13">
    <w:abstractNumId w:val="6"/>
  </w:num>
  <w:num w:numId="14">
    <w:abstractNumId w:val="28"/>
  </w:num>
  <w:num w:numId="15">
    <w:abstractNumId w:val="1"/>
  </w:num>
  <w:num w:numId="16">
    <w:abstractNumId w:val="36"/>
  </w:num>
  <w:num w:numId="17">
    <w:abstractNumId w:val="38"/>
  </w:num>
  <w:num w:numId="18">
    <w:abstractNumId w:val="16"/>
  </w:num>
  <w:num w:numId="19">
    <w:abstractNumId w:val="7"/>
  </w:num>
  <w:num w:numId="20">
    <w:abstractNumId w:val="2"/>
  </w:num>
  <w:num w:numId="21">
    <w:abstractNumId w:val="24"/>
  </w:num>
  <w:num w:numId="22">
    <w:abstractNumId w:val="21"/>
  </w:num>
  <w:num w:numId="23">
    <w:abstractNumId w:val="8"/>
  </w:num>
  <w:num w:numId="24">
    <w:abstractNumId w:val="29"/>
  </w:num>
  <w:num w:numId="25">
    <w:abstractNumId w:val="9"/>
  </w:num>
  <w:num w:numId="26">
    <w:abstractNumId w:val="40"/>
  </w:num>
  <w:num w:numId="27">
    <w:abstractNumId w:val="15"/>
  </w:num>
  <w:num w:numId="28">
    <w:abstractNumId w:val="4"/>
  </w:num>
  <w:num w:numId="29">
    <w:abstractNumId w:val="23"/>
  </w:num>
  <w:num w:numId="30">
    <w:abstractNumId w:val="0"/>
  </w:num>
  <w:num w:numId="31">
    <w:abstractNumId w:val="14"/>
  </w:num>
  <w:num w:numId="32">
    <w:abstractNumId w:val="26"/>
  </w:num>
  <w:num w:numId="33">
    <w:abstractNumId w:val="12"/>
  </w:num>
  <w:num w:numId="34">
    <w:abstractNumId w:val="13"/>
  </w:num>
  <w:num w:numId="35">
    <w:abstractNumId w:val="18"/>
  </w:num>
  <w:num w:numId="36">
    <w:abstractNumId w:val="19"/>
  </w:num>
  <w:num w:numId="37">
    <w:abstractNumId w:val="22"/>
  </w:num>
  <w:num w:numId="38">
    <w:abstractNumId w:val="35"/>
  </w:num>
  <w:num w:numId="39">
    <w:abstractNumId w:val="3"/>
  </w:num>
  <w:num w:numId="40">
    <w:abstractNumId w:val="3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A708F"/>
    <w:rsid w:val="004F7E17"/>
    <w:rsid w:val="005A05CE"/>
    <w:rsid w:val="00653AF6"/>
    <w:rsid w:val="0076739F"/>
    <w:rsid w:val="00A52A4B"/>
    <w:rsid w:val="00B70E60"/>
    <w:rsid w:val="00B73A5A"/>
    <w:rsid w:val="00D37BA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9887"/>
  <w15:docId w15:val="{63082E22-939D-4D2A-BD88-4BD1609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12101</Words>
  <Characters>68977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2024-09-20T20:27:00Z</dcterms:created>
  <dcterms:modified xsi:type="dcterms:W3CDTF">2024-09-20T20:27:00Z</dcterms:modified>
</cp:coreProperties>
</file>